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A9" w:rsidRDefault="005552A9" w:rsidP="005552A9">
      <w:pPr>
        <w:spacing w:line="276" w:lineRule="auto"/>
        <w:jc w:val="center"/>
        <w:rPr>
          <w:b/>
          <w:color w:val="C45911" w:themeColor="accent2" w:themeShade="BF"/>
        </w:rPr>
      </w:pPr>
      <w:bookmarkStart w:id="0" w:name="_GoBack"/>
      <w:bookmarkEnd w:id="0"/>
      <w:r>
        <w:rPr>
          <w:noProof/>
          <w:lang w:eastAsia="sl-SI"/>
        </w:rPr>
        <w:drawing>
          <wp:inline distT="0" distB="0" distL="0" distR="0" wp14:anchorId="29029B7B" wp14:editId="6413798D">
            <wp:extent cx="1957888" cy="1219200"/>
            <wp:effectExtent l="0" t="0" r="444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6688" cy="1230907"/>
                    </a:xfrm>
                    <a:prstGeom prst="rect">
                      <a:avLst/>
                    </a:prstGeom>
                    <a:noFill/>
                    <a:ln>
                      <a:noFill/>
                    </a:ln>
                  </pic:spPr>
                </pic:pic>
              </a:graphicData>
            </a:graphic>
          </wp:inline>
        </w:drawing>
      </w:r>
    </w:p>
    <w:p w:rsidR="005552A9" w:rsidRDefault="005552A9" w:rsidP="005552A9">
      <w:pPr>
        <w:spacing w:line="276" w:lineRule="auto"/>
        <w:jc w:val="both"/>
        <w:rPr>
          <w:b/>
          <w:color w:val="C45911" w:themeColor="accent2" w:themeShade="BF"/>
        </w:rPr>
      </w:pPr>
    </w:p>
    <w:p w:rsidR="005552A9" w:rsidRDefault="005552A9" w:rsidP="005552A9">
      <w:pPr>
        <w:spacing w:line="276" w:lineRule="auto"/>
        <w:jc w:val="both"/>
        <w:rPr>
          <w:b/>
          <w:color w:val="C45911" w:themeColor="accent2" w:themeShade="BF"/>
        </w:rPr>
      </w:pPr>
    </w:p>
    <w:p w:rsidR="005552A9" w:rsidRPr="005552A9" w:rsidRDefault="005552A9" w:rsidP="005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Verdana" w:eastAsia="Times New Roman" w:hAnsi="Verdana" w:cs="Courier New"/>
          <w:b/>
          <w:color w:val="538135" w:themeColor="accent6" w:themeShade="BF"/>
          <w:sz w:val="45"/>
          <w:szCs w:val="45"/>
          <w:lang w:val="en" w:eastAsia="sl-SI"/>
        </w:rPr>
      </w:pPr>
      <w:r w:rsidRPr="005552A9">
        <w:rPr>
          <w:rFonts w:ascii="Verdana" w:eastAsia="Times New Roman" w:hAnsi="Verdana" w:cs="Courier New"/>
          <w:b/>
          <w:color w:val="538135" w:themeColor="accent6" w:themeShade="BF"/>
          <w:sz w:val="45"/>
          <w:szCs w:val="45"/>
          <w:lang w:val="en" w:eastAsia="sl-SI"/>
        </w:rPr>
        <w:t>SUSTAINABILITY REPORT ON IMPLEMENTATION OF ACTION PLANS OF SUSTAINABILITY MEASURES</w:t>
      </w:r>
    </w:p>
    <w:p w:rsidR="005552A9" w:rsidRPr="005552A9" w:rsidRDefault="005552A9" w:rsidP="00555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Verdana" w:eastAsia="Times New Roman" w:hAnsi="Verdana" w:cs="Courier New"/>
          <w:b/>
          <w:color w:val="538135" w:themeColor="accent6" w:themeShade="BF"/>
          <w:sz w:val="45"/>
          <w:szCs w:val="45"/>
          <w:lang w:eastAsia="sl-SI"/>
        </w:rPr>
      </w:pPr>
      <w:r w:rsidRPr="005552A9">
        <w:rPr>
          <w:rFonts w:ascii="Verdana" w:eastAsia="Times New Roman" w:hAnsi="Verdana" w:cs="Courier New"/>
          <w:b/>
          <w:color w:val="538135" w:themeColor="accent6" w:themeShade="BF"/>
          <w:sz w:val="45"/>
          <w:szCs w:val="45"/>
          <w:lang w:val="en" w:eastAsia="sl-SI"/>
        </w:rPr>
        <w:t>FOR THE PERIOD 2020 – 2022</w:t>
      </w:r>
    </w:p>
    <w:p w:rsidR="005552A9" w:rsidRPr="005552A9" w:rsidRDefault="005552A9" w:rsidP="005552A9">
      <w:pPr>
        <w:spacing w:after="0" w:line="240" w:lineRule="auto"/>
        <w:rPr>
          <w:rFonts w:ascii="Times New Roman" w:eastAsia="Times New Roman" w:hAnsi="Times New Roman" w:cs="Times New Roman"/>
          <w:i/>
          <w:iCs/>
          <w:color w:val="202124"/>
          <w:sz w:val="18"/>
          <w:szCs w:val="18"/>
          <w:lang w:eastAsia="sl-SI"/>
        </w:rPr>
      </w:pPr>
    </w:p>
    <w:p w:rsidR="005552A9" w:rsidRDefault="005552A9" w:rsidP="005552A9">
      <w:pPr>
        <w:spacing w:line="276" w:lineRule="auto"/>
        <w:jc w:val="center"/>
        <w:rPr>
          <w:rFonts w:ascii="Verdana" w:eastAsia="Verdana" w:hAnsi="Verdana" w:cs="Verdana"/>
          <w:b/>
          <w:color w:val="61983D"/>
          <w:w w:val="110"/>
          <w:sz w:val="45"/>
          <w:szCs w:val="45"/>
        </w:rPr>
      </w:pPr>
      <w:r w:rsidRPr="005552A9">
        <w:rPr>
          <w:rFonts w:ascii="Arial" w:eastAsia="Times New Roman" w:hAnsi="Arial" w:cs="Arial"/>
          <w:color w:val="202124"/>
          <w:sz w:val="2"/>
          <w:szCs w:val="2"/>
          <w:shd w:val="clear" w:color="auto" w:fill="F8F9FA"/>
          <w:lang w:eastAsia="sl-SI"/>
        </w:rPr>
        <w:br/>
      </w:r>
    </w:p>
    <w:p w:rsidR="005552A9" w:rsidRDefault="005552A9" w:rsidP="005552A9">
      <w:pPr>
        <w:spacing w:line="276" w:lineRule="auto"/>
        <w:jc w:val="center"/>
        <w:rPr>
          <w:rFonts w:ascii="Verdana" w:eastAsia="Verdana" w:hAnsi="Verdana" w:cs="Verdana"/>
          <w:b/>
          <w:color w:val="61983D"/>
          <w:w w:val="110"/>
          <w:sz w:val="45"/>
          <w:szCs w:val="45"/>
        </w:rPr>
      </w:pPr>
      <w:r>
        <w:rPr>
          <w:bCs/>
          <w:noProof/>
          <w:sz w:val="24"/>
          <w:szCs w:val="24"/>
          <w:lang w:eastAsia="sl-SI"/>
        </w:rPr>
        <w:drawing>
          <wp:inline distT="0" distB="0" distL="0" distR="0" wp14:anchorId="5A2AF515" wp14:editId="3D08FED2">
            <wp:extent cx="2895600" cy="15811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nos.png"/>
                    <pic:cNvPicPr/>
                  </pic:nvPicPr>
                  <pic:blipFill>
                    <a:blip r:embed="rId8">
                      <a:extLst>
                        <a:ext uri="{28A0092B-C50C-407E-A947-70E740481C1C}">
                          <a14:useLocalDpi xmlns:a14="http://schemas.microsoft.com/office/drawing/2010/main" val="0"/>
                        </a:ext>
                      </a:extLst>
                    </a:blip>
                    <a:stretch>
                      <a:fillRect/>
                    </a:stretch>
                  </pic:blipFill>
                  <pic:spPr>
                    <a:xfrm>
                      <a:off x="0" y="0"/>
                      <a:ext cx="2895600" cy="1581150"/>
                    </a:xfrm>
                    <a:prstGeom prst="rect">
                      <a:avLst/>
                    </a:prstGeom>
                  </pic:spPr>
                </pic:pic>
              </a:graphicData>
            </a:graphic>
          </wp:inline>
        </w:drawing>
      </w:r>
    </w:p>
    <w:p w:rsidR="005552A9" w:rsidRDefault="005552A9" w:rsidP="005552A9">
      <w:pPr>
        <w:spacing w:line="276" w:lineRule="auto"/>
        <w:rPr>
          <w:rFonts w:ascii="Verdana" w:eastAsia="Verdana" w:hAnsi="Verdana" w:cs="Verdana"/>
          <w:b/>
          <w:color w:val="61983D"/>
          <w:w w:val="110"/>
          <w:sz w:val="45"/>
          <w:szCs w:val="45"/>
        </w:rPr>
      </w:pPr>
    </w:p>
    <w:p w:rsidR="005552A9" w:rsidRDefault="005552A9" w:rsidP="005552A9">
      <w:pPr>
        <w:spacing w:line="276" w:lineRule="auto"/>
        <w:jc w:val="center"/>
        <w:rPr>
          <w:rFonts w:ascii="Verdana" w:eastAsia="Verdana" w:hAnsi="Verdana" w:cs="Verdana"/>
          <w:b/>
          <w:color w:val="61983D"/>
          <w:w w:val="110"/>
          <w:sz w:val="45"/>
          <w:szCs w:val="45"/>
        </w:rPr>
      </w:pPr>
      <w:r>
        <w:rPr>
          <w:rFonts w:ascii="Verdana" w:eastAsia="Verdana" w:hAnsi="Verdana" w:cs="Verdana"/>
          <w:b/>
          <w:color w:val="61983D"/>
          <w:w w:val="110"/>
          <w:sz w:val="45"/>
          <w:szCs w:val="45"/>
        </w:rPr>
        <w:t>JANUARY 2023</w:t>
      </w:r>
    </w:p>
    <w:p w:rsidR="005552A9" w:rsidRDefault="005552A9" w:rsidP="005552A9">
      <w:pPr>
        <w:spacing w:line="276" w:lineRule="auto"/>
        <w:jc w:val="both"/>
        <w:rPr>
          <w:rFonts w:ascii="Verdana" w:eastAsia="Verdana" w:hAnsi="Verdana" w:cs="Verdana"/>
          <w:b/>
          <w:color w:val="61983D"/>
          <w:w w:val="110"/>
          <w:sz w:val="45"/>
          <w:szCs w:val="45"/>
        </w:rPr>
      </w:pPr>
      <w:r>
        <w:rPr>
          <w:noProof/>
          <w:lang w:eastAsia="sl-SI"/>
        </w:rPr>
        <w:drawing>
          <wp:anchor distT="0" distB="0" distL="114300" distR="114300" simplePos="0" relativeHeight="251661312" behindDoc="1" locked="0" layoutInCell="1" allowOverlap="1" wp14:anchorId="1D24901D" wp14:editId="1EB96980">
            <wp:simplePos x="0" y="0"/>
            <wp:positionH relativeFrom="margin">
              <wp:align>center</wp:align>
            </wp:positionH>
            <wp:positionV relativeFrom="paragraph">
              <wp:posOffset>64135</wp:posOffset>
            </wp:positionV>
            <wp:extent cx="624840" cy="764540"/>
            <wp:effectExtent l="0" t="0" r="3810" b="0"/>
            <wp:wrapTight wrapText="bothSides">
              <wp:wrapPolygon edited="0">
                <wp:start x="8561" y="0"/>
                <wp:lineTo x="0" y="538"/>
                <wp:lineTo x="0" y="10764"/>
                <wp:lineTo x="3951" y="17761"/>
                <wp:lineTo x="8561" y="20990"/>
                <wp:lineTo x="12512" y="20990"/>
                <wp:lineTo x="17122" y="17761"/>
                <wp:lineTo x="21073" y="10764"/>
                <wp:lineTo x="21073" y="538"/>
                <wp:lineTo x="12512" y="0"/>
                <wp:lineTo x="8561"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 cy="764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2A9" w:rsidRDefault="005552A9" w:rsidP="005552A9">
      <w:pPr>
        <w:spacing w:line="276" w:lineRule="auto"/>
        <w:jc w:val="both"/>
        <w:rPr>
          <w:rFonts w:ascii="Verdana" w:eastAsia="Verdana" w:hAnsi="Verdana" w:cs="Verdana"/>
          <w:b/>
          <w:color w:val="61983D"/>
          <w:w w:val="110"/>
          <w:sz w:val="45"/>
          <w:szCs w:val="45"/>
        </w:rPr>
      </w:pPr>
    </w:p>
    <w:p w:rsidR="005552A9" w:rsidRDefault="005552A9" w:rsidP="005552A9">
      <w:pPr>
        <w:spacing w:line="276" w:lineRule="auto"/>
        <w:jc w:val="both"/>
        <w:rPr>
          <w:rFonts w:ascii="Verdana" w:eastAsia="Verdana" w:hAnsi="Verdana" w:cs="Verdana"/>
          <w:b/>
          <w:color w:val="61983D"/>
          <w:w w:val="110"/>
          <w:sz w:val="45"/>
          <w:szCs w:val="45"/>
        </w:rPr>
      </w:pPr>
      <w:r>
        <w:rPr>
          <w:noProof/>
          <w:lang w:eastAsia="sl-SI"/>
        </w:rPr>
        <w:drawing>
          <wp:anchor distT="0" distB="0" distL="114300" distR="114300" simplePos="0" relativeHeight="251662336" behindDoc="1" locked="0" layoutInCell="1" allowOverlap="1" wp14:anchorId="4A11197C" wp14:editId="0D0B768D">
            <wp:simplePos x="0" y="0"/>
            <wp:positionH relativeFrom="margin">
              <wp:align>center</wp:align>
            </wp:positionH>
            <wp:positionV relativeFrom="paragraph">
              <wp:posOffset>156210</wp:posOffset>
            </wp:positionV>
            <wp:extent cx="2339340" cy="457200"/>
            <wp:effectExtent l="0" t="0" r="3810" b="0"/>
            <wp:wrapTight wrapText="bothSides">
              <wp:wrapPolygon edited="0">
                <wp:start x="0" y="0"/>
                <wp:lineTo x="0" y="20700"/>
                <wp:lineTo x="21459" y="20700"/>
                <wp:lineTo x="21459"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2A9" w:rsidRDefault="005552A9" w:rsidP="005552A9">
      <w:pPr>
        <w:spacing w:line="276" w:lineRule="auto"/>
        <w:jc w:val="both"/>
        <w:rPr>
          <w:rFonts w:ascii="Verdana" w:eastAsia="Verdana" w:hAnsi="Verdana" w:cs="Verdana"/>
          <w:b/>
          <w:color w:val="61983D"/>
          <w:w w:val="110"/>
          <w:sz w:val="45"/>
          <w:szCs w:val="45"/>
        </w:rPr>
      </w:pPr>
    </w:p>
    <w:p w:rsidR="005552A9" w:rsidRDefault="005B1CF0" w:rsidP="005552A9">
      <w:pPr>
        <w:spacing w:line="276" w:lineRule="auto"/>
        <w:jc w:val="both"/>
        <w:rPr>
          <w:rFonts w:ascii="Verdana" w:eastAsia="Verdana" w:hAnsi="Verdana" w:cs="Verdana"/>
          <w:b/>
          <w:color w:val="61983D"/>
          <w:w w:val="110"/>
          <w:sz w:val="45"/>
          <w:szCs w:val="45"/>
        </w:rPr>
      </w:pPr>
      <w:r>
        <w:rPr>
          <w:rFonts w:ascii="Verdana" w:eastAsia="Verdana" w:hAnsi="Verdana" w:cs="Verdana"/>
          <w:b/>
          <w:color w:val="61983D"/>
          <w:w w:val="110"/>
          <w:sz w:val="45"/>
          <w:szCs w:val="45"/>
        </w:rPr>
        <w:lastRenderedPageBreak/>
        <w:t>INTRODUCTION</w:t>
      </w:r>
    </w:p>
    <w:p w:rsidR="005B1CF0" w:rsidRPr="00393EF0" w:rsidRDefault="005B1CF0" w:rsidP="005552A9">
      <w:pPr>
        <w:spacing w:line="276" w:lineRule="auto"/>
        <w:jc w:val="both"/>
        <w:rPr>
          <w:rFonts w:cstheme="minorHAnsi"/>
          <w:bCs/>
          <w:sz w:val="24"/>
          <w:szCs w:val="24"/>
        </w:rPr>
      </w:pPr>
      <w:r w:rsidRPr="00393EF0">
        <w:rPr>
          <w:rFonts w:cstheme="minorHAnsi"/>
          <w:bCs/>
          <w:sz w:val="24"/>
          <w:szCs w:val="24"/>
        </w:rPr>
        <w:t xml:space="preserve">In 2020, the municipality of Cerklje na Gorenjskem obtained the bronze sustainability mark of the green scheme of Slovenian tourism. Despite the difficult challenges in the field of personnel at the Zavod za turizem Cerklje and the Covid-19 epidemic, it </w:t>
      </w:r>
      <w:r w:rsidR="0088416A" w:rsidRPr="00393EF0">
        <w:rPr>
          <w:rFonts w:cstheme="minorHAnsi"/>
          <w:bCs/>
          <w:sz w:val="24"/>
          <w:szCs w:val="24"/>
        </w:rPr>
        <w:t xml:space="preserve">nevertheless worked hard and strived for sustainable development and sustainable operation. In 2021, it adopted the Sustainable Development Strategy of the municipality of Cerklje na Gorenjskem. In the appendix, we describe our big projects and activities that have been done in the field of sustainability in the last three years as part of the sustainable development strategy of the municipality of Cerklje na Gorenjskem. </w:t>
      </w:r>
    </w:p>
    <w:p w:rsidR="005B1CF0" w:rsidRPr="00393EF0" w:rsidRDefault="005B1CF0" w:rsidP="005552A9">
      <w:pPr>
        <w:spacing w:line="276" w:lineRule="auto"/>
        <w:jc w:val="both"/>
        <w:rPr>
          <w:rFonts w:cstheme="minorHAnsi"/>
          <w:bCs/>
          <w:sz w:val="24"/>
          <w:szCs w:val="24"/>
        </w:rPr>
      </w:pPr>
    </w:p>
    <w:p w:rsidR="005552A9" w:rsidRPr="00BA0C07" w:rsidRDefault="00432F78" w:rsidP="005552A9">
      <w:pPr>
        <w:spacing w:line="276" w:lineRule="auto"/>
        <w:jc w:val="both"/>
        <w:rPr>
          <w:b/>
          <w:color w:val="538135" w:themeColor="accent6" w:themeShade="BF"/>
          <w:sz w:val="32"/>
          <w:szCs w:val="32"/>
        </w:rPr>
      </w:pPr>
      <w:r w:rsidRPr="00BA0C07">
        <w:rPr>
          <w:b/>
          <w:color w:val="538135" w:themeColor="accent6" w:themeShade="BF"/>
          <w:sz w:val="32"/>
          <w:szCs w:val="32"/>
        </w:rPr>
        <w:t xml:space="preserve">In the period </w:t>
      </w:r>
      <w:r w:rsidR="005552A9" w:rsidRPr="00BA0C07">
        <w:rPr>
          <w:b/>
          <w:color w:val="538135" w:themeColor="accent6" w:themeShade="BF"/>
          <w:sz w:val="32"/>
          <w:szCs w:val="32"/>
        </w:rPr>
        <w:t>2020</w:t>
      </w:r>
      <w:r w:rsidRPr="00BA0C07">
        <w:rPr>
          <w:b/>
          <w:color w:val="538135" w:themeColor="accent6" w:themeShade="BF"/>
          <w:sz w:val="32"/>
          <w:szCs w:val="32"/>
        </w:rPr>
        <w:t xml:space="preserve"> to 2022 we implemented the following projects</w:t>
      </w:r>
      <w:r w:rsidR="005552A9" w:rsidRPr="00BA0C07">
        <w:rPr>
          <w:b/>
          <w:color w:val="538135" w:themeColor="accent6" w:themeShade="BF"/>
          <w:sz w:val="32"/>
          <w:szCs w:val="32"/>
        </w:rPr>
        <w:t>:</w:t>
      </w:r>
    </w:p>
    <w:p w:rsidR="00DC540F" w:rsidRPr="00393EF0" w:rsidRDefault="00DC540F" w:rsidP="00DC540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Drinking water supply in the area of ​​Zg. Sava – 1st block (</w:t>
      </w:r>
      <w:r w:rsidR="00AA5EAD" w:rsidRPr="00393EF0">
        <w:rPr>
          <w:rStyle w:val="s1ppyq"/>
          <w:rFonts w:asciiTheme="minorHAnsi" w:hAnsiTheme="minorHAnsi" w:cs="Calibri"/>
          <w:color w:val="000000"/>
        </w:rPr>
        <w:t>Krvavec plumbing</w:t>
      </w:r>
      <w:r w:rsidRPr="00393EF0">
        <w:rPr>
          <w:rStyle w:val="s1ppyq"/>
          <w:rFonts w:asciiTheme="minorHAnsi" w:hAnsiTheme="minorHAnsi" w:cs="Calibri"/>
          <w:color w:val="000000"/>
        </w:rPr>
        <w:t xml:space="preserve"> system).</w:t>
      </w:r>
    </w:p>
    <w:p w:rsidR="00DC540F" w:rsidRPr="00393EF0" w:rsidRDefault="00DC540F" w:rsidP="00DC540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Communal infrastructure was built in the following settlements: Dvorje, Pšata, Poženik and Šmartno, Pšenična Polica, Cerkljanska Dobrava and Trata - roundabout. The communal infrastructure included the construction of fecal and storm sewers, the renovation of the water supply system and public lighting.</w:t>
      </w:r>
    </w:p>
    <w:p w:rsidR="00DC540F" w:rsidRPr="00393EF0" w:rsidRDefault="00DC540F" w:rsidP="00DC540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 xml:space="preserve">Together with the concessionaire for </w:t>
      </w:r>
      <w:r w:rsidR="00AA5EAD" w:rsidRPr="00393EF0">
        <w:rPr>
          <w:rStyle w:val="s1ppyq"/>
          <w:rFonts w:asciiTheme="minorHAnsi" w:hAnsiTheme="minorHAnsi" w:cs="Calibri"/>
          <w:color w:val="000000"/>
        </w:rPr>
        <w:t>restoration,</w:t>
      </w:r>
      <w:r w:rsidRPr="00393EF0">
        <w:rPr>
          <w:rStyle w:val="s1ppyq"/>
          <w:rFonts w:asciiTheme="minorHAnsi" w:hAnsiTheme="minorHAnsi" w:cs="Calibri"/>
          <w:color w:val="000000"/>
        </w:rPr>
        <w:t xml:space="preserve"> we </w:t>
      </w:r>
      <w:r w:rsidR="00AA5EAD" w:rsidRPr="00393EF0">
        <w:rPr>
          <w:rStyle w:val="s1ppyq"/>
          <w:rFonts w:asciiTheme="minorHAnsi" w:hAnsiTheme="minorHAnsi" w:cs="Calibri"/>
          <w:color w:val="000000"/>
        </w:rPr>
        <w:t>gave 500,000€ for</w:t>
      </w:r>
      <w:r w:rsidRPr="00393EF0">
        <w:rPr>
          <w:rStyle w:val="s1ppyq"/>
          <w:rFonts w:asciiTheme="minorHAnsi" w:hAnsiTheme="minorHAnsi" w:cs="Calibri"/>
          <w:color w:val="000000"/>
        </w:rPr>
        <w:t xml:space="preserve"> the restoration of watercourses.</w:t>
      </w:r>
    </w:p>
    <w:p w:rsidR="00DC540F" w:rsidRPr="00393EF0" w:rsidRDefault="00132C2A" w:rsidP="00DC540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T</w:t>
      </w:r>
      <w:r w:rsidR="00DC540F" w:rsidRPr="00393EF0">
        <w:rPr>
          <w:rStyle w:val="s1ppyq"/>
          <w:rFonts w:asciiTheme="minorHAnsi" w:hAnsiTheme="minorHAnsi" w:cs="Calibri"/>
          <w:color w:val="000000"/>
        </w:rPr>
        <w:t>ogether</w:t>
      </w:r>
      <w:r w:rsidRPr="00393EF0">
        <w:rPr>
          <w:rStyle w:val="s1ppyq"/>
          <w:rFonts w:asciiTheme="minorHAnsi" w:hAnsiTheme="minorHAnsi" w:cs="Calibri"/>
          <w:color w:val="000000"/>
        </w:rPr>
        <w:t xml:space="preserve">, in this period, we </w:t>
      </w:r>
      <w:r w:rsidR="00DC540F" w:rsidRPr="00393EF0">
        <w:rPr>
          <w:rStyle w:val="s1ppyq"/>
          <w:rFonts w:asciiTheme="minorHAnsi" w:hAnsiTheme="minorHAnsi" w:cs="Calibri"/>
          <w:color w:val="000000"/>
        </w:rPr>
        <w:t xml:space="preserve">allocated more than 15 million of </w:t>
      </w:r>
      <w:r w:rsidRPr="00393EF0">
        <w:rPr>
          <w:rStyle w:val="s1ppyq"/>
          <w:rFonts w:asciiTheme="minorHAnsi" w:hAnsiTheme="minorHAnsi" w:cs="Calibri"/>
          <w:color w:val="000000"/>
        </w:rPr>
        <w:t>our</w:t>
      </w:r>
      <w:r w:rsidR="00DC540F" w:rsidRPr="00393EF0">
        <w:rPr>
          <w:rStyle w:val="s1ppyq"/>
          <w:rFonts w:asciiTheme="minorHAnsi" w:hAnsiTheme="minorHAnsi" w:cs="Calibri"/>
          <w:color w:val="000000"/>
        </w:rPr>
        <w:t xml:space="preserve"> own funds to the renovation of the municipal infrastructure.</w:t>
      </w:r>
    </w:p>
    <w:p w:rsidR="00DC540F" w:rsidRPr="00393EF0" w:rsidRDefault="00DC540F" w:rsidP="00DC540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We built a new health center in Cerklje.</w:t>
      </w:r>
    </w:p>
    <w:p w:rsidR="000F714F" w:rsidRPr="00393EF0" w:rsidRDefault="00DC540F" w:rsidP="000F714F">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rPr>
        <w:t>We also renovated and extended the farewell halls in the Cerklje.</w:t>
      </w:r>
    </w:p>
    <w:p w:rsidR="000F714F" w:rsidRPr="00393EF0" w:rsidRDefault="00DC540F" w:rsidP="00393EF0">
      <w:pPr>
        <w:pStyle w:val="04xlpa"/>
        <w:numPr>
          <w:ilvl w:val="0"/>
          <w:numId w:val="8"/>
        </w:numPr>
        <w:spacing w:line="276" w:lineRule="auto"/>
        <w:rPr>
          <w:rFonts w:asciiTheme="minorHAnsi" w:hAnsiTheme="minorHAnsi" w:cs="Calibri"/>
          <w:color w:val="000000"/>
        </w:rPr>
      </w:pPr>
      <w:r w:rsidRPr="00393EF0">
        <w:rPr>
          <w:rStyle w:val="s1ppyq"/>
          <w:rFonts w:asciiTheme="minorHAnsi" w:hAnsiTheme="minorHAnsi" w:cs="Calibri"/>
          <w:color w:val="000000"/>
          <w:u w:val="single"/>
        </w:rPr>
        <w:t>Sports and sports activities</w:t>
      </w:r>
      <w:r w:rsidRPr="00393EF0">
        <w:rPr>
          <w:rStyle w:val="s1ppyq"/>
          <w:rFonts w:asciiTheme="minorHAnsi" w:hAnsiTheme="minorHAnsi" w:cs="Calibri"/>
          <w:color w:val="000000"/>
        </w:rPr>
        <w:t>:</w:t>
      </w:r>
    </w:p>
    <w:p w:rsidR="00DC540F" w:rsidRPr="00393EF0" w:rsidRDefault="00DC540F" w:rsidP="00393EF0">
      <w:pPr>
        <w:pStyle w:val="04xlpa"/>
        <w:numPr>
          <w:ilvl w:val="0"/>
          <w:numId w:val="10"/>
        </w:numPr>
        <w:spacing w:line="276" w:lineRule="auto"/>
        <w:ind w:left="1134" w:hanging="284"/>
        <w:rPr>
          <w:rFonts w:asciiTheme="minorHAnsi" w:hAnsiTheme="minorHAnsi" w:cs="Calibri"/>
          <w:color w:val="000000"/>
        </w:rPr>
      </w:pPr>
      <w:r w:rsidRPr="00393EF0">
        <w:rPr>
          <w:rStyle w:val="s1ppyq"/>
          <w:rFonts w:asciiTheme="minorHAnsi" w:hAnsiTheme="minorHAnsi" w:cs="Calibri"/>
          <w:color w:val="000000"/>
        </w:rPr>
        <w:t xml:space="preserve">During this period, we completed </w:t>
      </w:r>
      <w:r w:rsidR="000F714F" w:rsidRPr="00393EF0">
        <w:rPr>
          <w:rStyle w:val="s1ppyq"/>
          <w:rFonts w:asciiTheme="minorHAnsi" w:hAnsiTheme="minorHAnsi" w:cs="Calibri"/>
          <w:color w:val="000000"/>
        </w:rPr>
        <w:t xml:space="preserve">the covered </w:t>
      </w:r>
      <w:r w:rsidRPr="00393EF0">
        <w:rPr>
          <w:rStyle w:val="s1ppyq"/>
          <w:rFonts w:asciiTheme="minorHAnsi" w:hAnsiTheme="minorHAnsi" w:cs="Calibri"/>
          <w:color w:val="000000"/>
        </w:rPr>
        <w:t xml:space="preserve">playground in Velesovo (tent). We bought </w:t>
      </w:r>
      <w:r w:rsidR="006C4037" w:rsidRPr="00393EF0">
        <w:rPr>
          <w:rStyle w:val="s1ppyq"/>
          <w:rFonts w:asciiTheme="minorHAnsi" w:hAnsiTheme="minorHAnsi" w:cs="Calibri"/>
          <w:color w:val="000000"/>
        </w:rPr>
        <w:t xml:space="preserve">the </w:t>
      </w:r>
      <w:r w:rsidRPr="00393EF0">
        <w:rPr>
          <w:rStyle w:val="s1ppyq"/>
          <w:rFonts w:asciiTheme="minorHAnsi" w:hAnsiTheme="minorHAnsi" w:cs="Calibri"/>
          <w:color w:val="000000"/>
        </w:rPr>
        <w:t>land that will be used for football practice.</w:t>
      </w:r>
    </w:p>
    <w:p w:rsidR="00DC540F" w:rsidRPr="00393EF0" w:rsidRDefault="00DC540F" w:rsidP="00393EF0">
      <w:pPr>
        <w:pStyle w:val="04xlpa"/>
        <w:numPr>
          <w:ilvl w:val="0"/>
          <w:numId w:val="10"/>
        </w:numPr>
        <w:spacing w:line="276" w:lineRule="auto"/>
        <w:ind w:left="1134" w:hanging="284"/>
        <w:rPr>
          <w:rFonts w:asciiTheme="minorHAnsi" w:hAnsiTheme="minorHAnsi" w:cs="Calibri"/>
          <w:color w:val="000000"/>
        </w:rPr>
      </w:pPr>
      <w:r w:rsidRPr="00393EF0">
        <w:rPr>
          <w:rStyle w:val="s1ppyq"/>
          <w:rFonts w:asciiTheme="minorHAnsi" w:hAnsiTheme="minorHAnsi" w:cs="Calibri"/>
          <w:color w:val="000000"/>
        </w:rPr>
        <w:t>In 2020, we also built a cycling training ground - worth €70,000.</w:t>
      </w:r>
    </w:p>
    <w:p w:rsidR="00DC540F" w:rsidRPr="00393EF0" w:rsidRDefault="00DC540F" w:rsidP="00393EF0">
      <w:pPr>
        <w:pStyle w:val="04xlpa"/>
        <w:numPr>
          <w:ilvl w:val="0"/>
          <w:numId w:val="10"/>
        </w:numPr>
        <w:spacing w:line="276" w:lineRule="auto"/>
        <w:ind w:left="1134" w:hanging="284"/>
        <w:rPr>
          <w:rFonts w:asciiTheme="minorHAnsi" w:hAnsiTheme="minorHAnsi" w:cs="Calibri"/>
          <w:color w:val="000000"/>
        </w:rPr>
      </w:pPr>
      <w:r w:rsidRPr="00393EF0">
        <w:rPr>
          <w:rStyle w:val="s1ppyq"/>
          <w:rFonts w:asciiTheme="minorHAnsi" w:hAnsiTheme="minorHAnsi" w:cs="Calibri"/>
          <w:color w:val="000000"/>
        </w:rPr>
        <w:t>Each year, we allocate funds to sports associations for their operation. €180,000 per year.</w:t>
      </w:r>
    </w:p>
    <w:p w:rsidR="00DC540F" w:rsidRPr="00393EF0" w:rsidRDefault="00DC540F" w:rsidP="00393EF0">
      <w:pPr>
        <w:pStyle w:val="04xlpa"/>
        <w:numPr>
          <w:ilvl w:val="0"/>
          <w:numId w:val="10"/>
        </w:numPr>
        <w:spacing w:line="276" w:lineRule="auto"/>
        <w:ind w:left="1134" w:hanging="284"/>
        <w:rPr>
          <w:rFonts w:asciiTheme="minorHAnsi" w:hAnsiTheme="minorHAnsi" w:cs="Calibri"/>
          <w:color w:val="000000"/>
        </w:rPr>
      </w:pPr>
      <w:r w:rsidRPr="00393EF0">
        <w:rPr>
          <w:rStyle w:val="s1ppyq"/>
          <w:rFonts w:asciiTheme="minorHAnsi" w:hAnsiTheme="minorHAnsi" w:cs="Calibri"/>
          <w:color w:val="000000"/>
        </w:rPr>
        <w:t>We allocated slightly more than €1 million for sports activities.</w:t>
      </w:r>
    </w:p>
    <w:p w:rsidR="00DC540F" w:rsidRPr="00393EF0" w:rsidRDefault="00DC540F" w:rsidP="00393EF0">
      <w:pPr>
        <w:pStyle w:val="04xlpa"/>
        <w:numPr>
          <w:ilvl w:val="0"/>
          <w:numId w:val="10"/>
        </w:numPr>
        <w:spacing w:line="276" w:lineRule="auto"/>
        <w:ind w:left="1134" w:hanging="284"/>
        <w:rPr>
          <w:rFonts w:asciiTheme="minorHAnsi" w:hAnsiTheme="minorHAnsi" w:cs="Calibri"/>
          <w:color w:val="000000"/>
        </w:rPr>
      </w:pPr>
      <w:r w:rsidRPr="00393EF0">
        <w:rPr>
          <w:rStyle w:val="s1ppyq"/>
          <w:rFonts w:asciiTheme="minorHAnsi" w:hAnsiTheme="minorHAnsi" w:cs="Calibri"/>
          <w:color w:val="000000"/>
        </w:rPr>
        <w:t>Investments in primary schools.</w:t>
      </w:r>
    </w:p>
    <w:p w:rsidR="00DC540F" w:rsidRPr="00393EF0" w:rsidRDefault="00DC540F" w:rsidP="00393EF0">
      <w:pPr>
        <w:pStyle w:val="04xlpa"/>
        <w:numPr>
          <w:ilvl w:val="0"/>
          <w:numId w:val="10"/>
        </w:numPr>
        <w:spacing w:line="276" w:lineRule="auto"/>
        <w:ind w:left="1134" w:hanging="284"/>
        <w:rPr>
          <w:rStyle w:val="s1ppyq"/>
          <w:rFonts w:asciiTheme="minorHAnsi" w:hAnsiTheme="minorHAnsi" w:cs="Calibri"/>
          <w:color w:val="000000"/>
        </w:rPr>
      </w:pPr>
      <w:r w:rsidRPr="00393EF0">
        <w:rPr>
          <w:rStyle w:val="s1ppyq"/>
          <w:rFonts w:asciiTheme="minorHAnsi" w:hAnsiTheme="minorHAnsi" w:cs="Calibri"/>
          <w:color w:val="000000"/>
        </w:rPr>
        <w:t>We bought and installed an elevator in the</w:t>
      </w:r>
      <w:r w:rsidR="006C4037" w:rsidRPr="00393EF0">
        <w:rPr>
          <w:rStyle w:val="s1ppyq"/>
          <w:rFonts w:asciiTheme="minorHAnsi" w:hAnsiTheme="minorHAnsi" w:cs="Calibri"/>
          <w:color w:val="000000"/>
        </w:rPr>
        <w:t xml:space="preserve"> kindergarten</w:t>
      </w:r>
      <w:r w:rsidRPr="00393EF0">
        <w:rPr>
          <w:rStyle w:val="s1ppyq"/>
          <w:rFonts w:asciiTheme="minorHAnsi" w:hAnsiTheme="minorHAnsi" w:cs="Calibri"/>
          <w:color w:val="000000"/>
        </w:rPr>
        <w:t xml:space="preserve"> Murenčki - value €50,000.</w:t>
      </w:r>
    </w:p>
    <w:p w:rsidR="00DC540F" w:rsidRPr="00393EF0" w:rsidRDefault="00DC540F" w:rsidP="00393EF0">
      <w:pPr>
        <w:pStyle w:val="04xlpa"/>
        <w:spacing w:line="276" w:lineRule="auto"/>
        <w:ind w:left="720"/>
        <w:rPr>
          <w:rFonts w:asciiTheme="minorHAnsi" w:hAnsiTheme="minorHAnsi" w:cs="Calibri"/>
          <w:color w:val="000000"/>
        </w:rPr>
      </w:pPr>
    </w:p>
    <w:p w:rsidR="005552A9" w:rsidRPr="00393EF0" w:rsidRDefault="00973629" w:rsidP="00393EF0">
      <w:pPr>
        <w:pStyle w:val="Odstavekseznama"/>
        <w:numPr>
          <w:ilvl w:val="0"/>
          <w:numId w:val="1"/>
        </w:numPr>
        <w:spacing w:line="276" w:lineRule="auto"/>
        <w:rPr>
          <w:bCs/>
          <w:sz w:val="24"/>
          <w:szCs w:val="24"/>
        </w:rPr>
      </w:pPr>
      <w:r w:rsidRPr="00393EF0">
        <w:rPr>
          <w:bCs/>
          <w:sz w:val="24"/>
          <w:szCs w:val="24"/>
          <w:u w:val="single"/>
        </w:rPr>
        <w:t>Cultural heritage</w:t>
      </w:r>
      <w:r w:rsidR="005552A9" w:rsidRPr="00393EF0">
        <w:rPr>
          <w:bCs/>
          <w:sz w:val="24"/>
          <w:szCs w:val="24"/>
        </w:rPr>
        <w:t>:</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t xml:space="preserve">In </w:t>
      </w:r>
      <w:r w:rsidR="00820D70" w:rsidRPr="00393EF0">
        <w:rPr>
          <w:rFonts w:eastAsia="Times New Roman" w:cs="Times New Roman"/>
          <w:color w:val="000000"/>
          <w:sz w:val="24"/>
          <w:szCs w:val="24"/>
          <w:lang w:eastAsia="sl-SI"/>
        </w:rPr>
        <w:t>the area of ​​real estate, the m</w:t>
      </w:r>
      <w:r w:rsidRPr="00393EF0">
        <w:rPr>
          <w:rFonts w:eastAsia="Times New Roman" w:cs="Times New Roman"/>
          <w:color w:val="000000"/>
          <w:sz w:val="24"/>
          <w:szCs w:val="24"/>
          <w:lang w:eastAsia="sl-SI"/>
        </w:rPr>
        <w:t xml:space="preserve">unicipality bought the land </w:t>
      </w:r>
      <w:r w:rsidR="00820D70" w:rsidRPr="00393EF0">
        <w:rPr>
          <w:rFonts w:eastAsia="Times New Roman" w:cs="Times New Roman"/>
          <w:color w:val="000000"/>
          <w:sz w:val="24"/>
          <w:szCs w:val="24"/>
          <w:lang w:eastAsia="sl-SI"/>
        </w:rPr>
        <w:t>Pod Jenkovo ​​Lipo and Hribarjeva</w:t>
      </w:r>
      <w:r w:rsidRPr="00393EF0">
        <w:rPr>
          <w:rFonts w:eastAsia="Times New Roman" w:cs="Times New Roman"/>
          <w:color w:val="000000"/>
          <w:sz w:val="24"/>
          <w:szCs w:val="24"/>
          <w:lang w:eastAsia="sl-SI"/>
        </w:rPr>
        <w:t xml:space="preserve"> house. The value of both purchases was €1.5 million.</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lastRenderedPageBreak/>
        <w:t xml:space="preserve">In the field of culture, we allocated financial resources for renovation work on </w:t>
      </w:r>
      <w:r w:rsidR="00820D70" w:rsidRPr="00393EF0">
        <w:rPr>
          <w:rFonts w:eastAsia="Times New Roman" w:cs="Times New Roman"/>
          <w:color w:val="000000"/>
          <w:sz w:val="24"/>
          <w:szCs w:val="24"/>
          <w:lang w:eastAsia="sl-SI"/>
        </w:rPr>
        <w:t>churches in</w:t>
      </w:r>
      <w:r w:rsidRPr="00393EF0">
        <w:rPr>
          <w:rFonts w:eastAsia="Times New Roman" w:cs="Times New Roman"/>
          <w:color w:val="000000"/>
          <w:sz w:val="24"/>
          <w:szCs w:val="24"/>
          <w:lang w:eastAsia="sl-SI"/>
        </w:rPr>
        <w:t xml:space="preserve"> Štefanja Gora, Šmartno, Stiška vas, Zg. Brnik, Trata, Spodnji Brnik and Pšata. We also allocated funds to the church in Cerklje for the replacement of the roof covering</w:t>
      </w:r>
      <w:r w:rsidR="00820D70" w:rsidRPr="00393EF0">
        <w:rPr>
          <w:rFonts w:eastAsia="Times New Roman" w:cs="Times New Roman"/>
          <w:color w:val="000000"/>
          <w:sz w:val="24"/>
          <w:szCs w:val="24"/>
          <w:lang w:eastAsia="sl-SI"/>
        </w:rPr>
        <w:t xml:space="preserve"> and</w:t>
      </w:r>
      <w:r w:rsidRPr="00393EF0">
        <w:rPr>
          <w:rFonts w:eastAsia="Times New Roman" w:cs="Times New Roman"/>
          <w:color w:val="000000"/>
          <w:sz w:val="24"/>
          <w:szCs w:val="24"/>
          <w:lang w:eastAsia="sl-SI"/>
        </w:rPr>
        <w:t xml:space="preserve"> maintenance and renovation work in the Velesovo monastery. The total value was €122,000.</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t>We allocated €160,000</w:t>
      </w:r>
      <w:r w:rsidR="00282245" w:rsidRPr="00393EF0">
        <w:rPr>
          <w:rFonts w:eastAsia="Times New Roman" w:cs="Times New Roman"/>
          <w:color w:val="000000"/>
          <w:sz w:val="24"/>
          <w:szCs w:val="24"/>
          <w:lang w:eastAsia="sl-SI"/>
        </w:rPr>
        <w:t>,</w:t>
      </w:r>
      <w:r w:rsidRPr="00393EF0">
        <w:rPr>
          <w:rFonts w:eastAsia="Times New Roman" w:cs="Times New Roman"/>
          <w:color w:val="000000"/>
          <w:sz w:val="24"/>
          <w:szCs w:val="24"/>
          <w:lang w:eastAsia="sl-SI"/>
        </w:rPr>
        <w:t xml:space="preserve"> including </w:t>
      </w:r>
      <w:r w:rsidR="00282245" w:rsidRPr="00393EF0">
        <w:rPr>
          <w:rFonts w:eastAsia="Times New Roman" w:cs="Times New Roman"/>
          <w:color w:val="000000"/>
          <w:sz w:val="24"/>
          <w:szCs w:val="24"/>
          <w:lang w:eastAsia="sl-SI"/>
        </w:rPr>
        <w:t>DDV(</w:t>
      </w:r>
      <w:r w:rsidRPr="00393EF0">
        <w:rPr>
          <w:rFonts w:eastAsia="Times New Roman" w:cs="Times New Roman"/>
          <w:color w:val="000000"/>
          <w:sz w:val="24"/>
          <w:szCs w:val="24"/>
          <w:lang w:eastAsia="sl-SI"/>
        </w:rPr>
        <w:t>over two years</w:t>
      </w:r>
      <w:r w:rsidR="00282245" w:rsidRPr="00393EF0">
        <w:rPr>
          <w:rFonts w:eastAsia="Times New Roman" w:cs="Times New Roman"/>
          <w:color w:val="000000"/>
          <w:sz w:val="24"/>
          <w:szCs w:val="24"/>
          <w:lang w:eastAsia="sl-SI"/>
        </w:rPr>
        <w:t>),</w:t>
      </w:r>
      <w:r w:rsidRPr="00393EF0">
        <w:rPr>
          <w:rFonts w:eastAsia="Times New Roman" w:cs="Times New Roman"/>
          <w:color w:val="000000"/>
          <w:sz w:val="24"/>
          <w:szCs w:val="24"/>
          <w:lang w:eastAsia="sl-SI"/>
        </w:rPr>
        <w:t xml:space="preserve"> for the restoration of the altars (</w:t>
      </w:r>
      <w:r w:rsidR="00282245" w:rsidRPr="00393EF0">
        <w:rPr>
          <w:rFonts w:eastAsia="Times New Roman" w:cs="Times New Roman"/>
          <w:color w:val="000000"/>
          <w:sz w:val="24"/>
          <w:szCs w:val="24"/>
          <w:lang w:eastAsia="sl-SI"/>
        </w:rPr>
        <w:t xml:space="preserve">church </w:t>
      </w:r>
      <w:r w:rsidRPr="00393EF0">
        <w:rPr>
          <w:rFonts w:eastAsia="Times New Roman" w:cs="Times New Roman"/>
          <w:color w:val="000000"/>
          <w:sz w:val="24"/>
          <w:szCs w:val="24"/>
          <w:lang w:eastAsia="sl-SI"/>
        </w:rPr>
        <w:t>Adergas).</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t>Every year, we allocate funds to cultural associations for their operation. Annually in the amount of €80,000.</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t>In the area of ​​renovation, restoration and preservation of cultural heritage, we allocated around €600,000 over four years.</w:t>
      </w:r>
    </w:p>
    <w:p w:rsidR="00973629" w:rsidRPr="00393EF0" w:rsidRDefault="00973629" w:rsidP="00393EF0">
      <w:pPr>
        <w:pStyle w:val="Odstavekseznama"/>
        <w:numPr>
          <w:ilvl w:val="0"/>
          <w:numId w:val="11"/>
        </w:numPr>
        <w:spacing w:before="100" w:beforeAutospacing="1" w:after="100" w:afterAutospacing="1" w:line="330" w:lineRule="atLeast"/>
        <w:ind w:left="1134"/>
        <w:rPr>
          <w:rFonts w:eastAsia="Times New Roman" w:cs="Times New Roman"/>
          <w:color w:val="000000"/>
          <w:sz w:val="24"/>
          <w:szCs w:val="24"/>
          <w:lang w:eastAsia="sl-SI"/>
        </w:rPr>
      </w:pPr>
      <w:r w:rsidRPr="00393EF0">
        <w:rPr>
          <w:rFonts w:eastAsia="Times New Roman" w:cs="Times New Roman"/>
          <w:color w:val="000000"/>
          <w:sz w:val="24"/>
          <w:szCs w:val="24"/>
          <w:lang w:eastAsia="sl-SI"/>
        </w:rPr>
        <w:t xml:space="preserve">We also established a dislocated unit of the </w:t>
      </w:r>
      <w:r w:rsidR="004A7C06" w:rsidRPr="00393EF0">
        <w:rPr>
          <w:rFonts w:eastAsia="Times New Roman" w:cs="Times New Roman"/>
          <w:color w:val="000000"/>
          <w:sz w:val="24"/>
          <w:szCs w:val="24"/>
          <w:lang w:eastAsia="sl-SI"/>
        </w:rPr>
        <w:t>Glasbena šola Kranj</w:t>
      </w:r>
      <w:r w:rsidRPr="00393EF0">
        <w:rPr>
          <w:rFonts w:eastAsia="Times New Roman" w:cs="Times New Roman"/>
          <w:color w:val="000000"/>
          <w:sz w:val="24"/>
          <w:szCs w:val="24"/>
          <w:lang w:eastAsia="sl-SI"/>
        </w:rPr>
        <w:t>, which has already enrolled new students with the new school year.</w:t>
      </w:r>
    </w:p>
    <w:p w:rsidR="00973629" w:rsidRPr="00393EF0" w:rsidRDefault="00973629" w:rsidP="00973629">
      <w:pPr>
        <w:pStyle w:val="Odstavekseznama"/>
        <w:spacing w:before="100" w:beforeAutospacing="1" w:after="100" w:afterAutospacing="1" w:line="330" w:lineRule="atLeast"/>
        <w:ind w:left="1440"/>
        <w:rPr>
          <w:rFonts w:eastAsia="Times New Roman" w:cs="Times New Roman"/>
          <w:color w:val="000000"/>
          <w:sz w:val="24"/>
          <w:szCs w:val="24"/>
          <w:lang w:eastAsia="sl-SI"/>
        </w:rPr>
      </w:pPr>
    </w:p>
    <w:p w:rsidR="005D24C3" w:rsidRPr="00BA0C07" w:rsidRDefault="005D24C3" w:rsidP="005D24C3">
      <w:pPr>
        <w:pStyle w:val="Odstavekseznama"/>
        <w:numPr>
          <w:ilvl w:val="0"/>
          <w:numId w:val="1"/>
        </w:numPr>
        <w:spacing w:before="100" w:beforeAutospacing="1" w:after="100" w:afterAutospacing="1" w:line="330" w:lineRule="atLeast"/>
        <w:rPr>
          <w:rFonts w:eastAsia="Times New Roman" w:cs="Times New Roman"/>
          <w:color w:val="000000"/>
          <w:sz w:val="24"/>
          <w:szCs w:val="24"/>
          <w:lang w:eastAsia="sl-SI"/>
        </w:rPr>
      </w:pPr>
      <w:r w:rsidRPr="00393EF0">
        <w:rPr>
          <w:rFonts w:eastAsia="Times New Roman" w:cs="Times New Roman"/>
          <w:color w:val="000000"/>
          <w:sz w:val="24"/>
          <w:szCs w:val="24"/>
          <w:lang w:eastAsia="sl-SI"/>
        </w:rPr>
        <w:t xml:space="preserve">We successfully cooperate with the Kranj Regional Development Agency, as we have </w:t>
      </w:r>
      <w:r w:rsidRPr="00BA0C07">
        <w:rPr>
          <w:rFonts w:eastAsia="Times New Roman" w:cs="Times New Roman"/>
          <w:color w:val="000000"/>
          <w:sz w:val="24"/>
          <w:szCs w:val="24"/>
          <w:lang w:eastAsia="sl-SI"/>
        </w:rPr>
        <w:t>implemented LAS programs such as:</w:t>
      </w:r>
    </w:p>
    <w:p w:rsidR="005D24C3" w:rsidRPr="00BA0C07" w:rsidRDefault="005D24C3" w:rsidP="005D24C3">
      <w:pPr>
        <w:pStyle w:val="Odstavekseznama"/>
        <w:numPr>
          <w:ilvl w:val="0"/>
          <w:numId w:val="12"/>
        </w:numPr>
        <w:spacing w:before="100" w:beforeAutospacing="1" w:after="100" w:afterAutospacing="1" w:line="330" w:lineRule="atLeast"/>
        <w:rPr>
          <w:rFonts w:eastAsia="Times New Roman" w:cs="Times New Roman"/>
          <w:color w:val="000000"/>
          <w:sz w:val="24"/>
          <w:szCs w:val="24"/>
          <w:lang w:eastAsia="sl-SI"/>
        </w:rPr>
      </w:pPr>
      <w:r w:rsidRPr="00BA0C07">
        <w:rPr>
          <w:rFonts w:eastAsia="Times New Roman" w:cs="Times New Roman"/>
          <w:color w:val="000000"/>
          <w:sz w:val="24"/>
          <w:szCs w:val="24"/>
          <w:lang w:eastAsia="sl-SI"/>
        </w:rPr>
        <w:t>Intergenerational centers – supply and installation of equipment for two intergenerational parks in Lahovče and Štefanja Gora.</w:t>
      </w:r>
    </w:p>
    <w:p w:rsidR="005D24C3" w:rsidRPr="00BA0C07" w:rsidRDefault="005D24C3" w:rsidP="005D24C3">
      <w:pPr>
        <w:pStyle w:val="Odstavekseznama"/>
        <w:numPr>
          <w:ilvl w:val="0"/>
          <w:numId w:val="12"/>
        </w:numPr>
        <w:spacing w:before="100" w:beforeAutospacing="1" w:after="100" w:afterAutospacing="1" w:line="330" w:lineRule="atLeast"/>
        <w:rPr>
          <w:rFonts w:eastAsia="Times New Roman" w:cs="Times New Roman"/>
          <w:color w:val="000000"/>
          <w:sz w:val="24"/>
          <w:szCs w:val="24"/>
          <w:lang w:eastAsia="sl-SI"/>
        </w:rPr>
      </w:pPr>
      <w:r w:rsidRPr="00BA0C07">
        <w:rPr>
          <w:rFonts w:eastAsia="Times New Roman" w:cs="Times New Roman"/>
          <w:color w:val="000000"/>
          <w:sz w:val="24"/>
          <w:szCs w:val="24"/>
          <w:lang w:eastAsia="sl-SI"/>
        </w:rPr>
        <w:t>Green solution project - arrangement of degraded areas in Česnjevek and Cerklje.</w:t>
      </w:r>
    </w:p>
    <w:p w:rsidR="005D24C3" w:rsidRPr="00BA0C07" w:rsidRDefault="005D24C3" w:rsidP="005D24C3">
      <w:pPr>
        <w:pStyle w:val="Odstavekseznama"/>
        <w:numPr>
          <w:ilvl w:val="0"/>
          <w:numId w:val="12"/>
        </w:numPr>
        <w:spacing w:before="100" w:beforeAutospacing="1" w:after="100" w:afterAutospacing="1" w:line="330" w:lineRule="atLeast"/>
        <w:rPr>
          <w:rFonts w:eastAsia="Times New Roman" w:cs="Times New Roman"/>
          <w:color w:val="000000"/>
          <w:sz w:val="24"/>
          <w:szCs w:val="24"/>
          <w:lang w:eastAsia="sl-SI"/>
        </w:rPr>
      </w:pPr>
      <w:r w:rsidRPr="00BA0C07">
        <w:rPr>
          <w:rFonts w:eastAsia="Times New Roman" w:cs="Times New Roman"/>
          <w:color w:val="000000"/>
          <w:sz w:val="24"/>
          <w:szCs w:val="24"/>
          <w:lang w:eastAsia="sl-SI"/>
        </w:rPr>
        <w:t>Project E-asy by bike - 4 locations are equipped with bicycle equipment. The locations are Zdravstveni dom Cerklje, Soccer Center Cerklje, Dvorje and Česnjevek.</w:t>
      </w:r>
    </w:p>
    <w:p w:rsidR="005D24C3" w:rsidRPr="00BA0C07" w:rsidRDefault="005D24C3" w:rsidP="005D24C3">
      <w:pPr>
        <w:pStyle w:val="Odstavekseznama"/>
        <w:numPr>
          <w:ilvl w:val="0"/>
          <w:numId w:val="12"/>
        </w:numPr>
        <w:spacing w:before="100" w:beforeAutospacing="1" w:after="100" w:afterAutospacing="1" w:line="330" w:lineRule="atLeast"/>
        <w:rPr>
          <w:rFonts w:eastAsia="Times New Roman" w:cs="Times New Roman"/>
          <w:color w:val="000000"/>
          <w:sz w:val="24"/>
          <w:szCs w:val="24"/>
          <w:lang w:eastAsia="sl-SI"/>
        </w:rPr>
      </w:pPr>
      <w:r w:rsidRPr="00BA0C07">
        <w:rPr>
          <w:rFonts w:eastAsia="Times New Roman" w:cs="Times New Roman"/>
          <w:color w:val="000000"/>
          <w:sz w:val="24"/>
          <w:szCs w:val="24"/>
          <w:lang w:eastAsia="sl-SI"/>
        </w:rPr>
        <w:t>Pr</w:t>
      </w:r>
      <w:r w:rsidR="00465318" w:rsidRPr="00BA0C07">
        <w:rPr>
          <w:rFonts w:eastAsia="Times New Roman" w:cs="Times New Roman"/>
          <w:color w:val="000000"/>
          <w:sz w:val="24"/>
          <w:szCs w:val="24"/>
          <w:lang w:eastAsia="sl-SI"/>
        </w:rPr>
        <w:t>oject Kolesarska veriga na Podeželju</w:t>
      </w:r>
      <w:r w:rsidRPr="00BA0C07">
        <w:rPr>
          <w:rFonts w:eastAsia="Times New Roman" w:cs="Times New Roman"/>
          <w:color w:val="000000"/>
          <w:sz w:val="24"/>
          <w:szCs w:val="24"/>
          <w:lang w:eastAsia="sl-SI"/>
        </w:rPr>
        <w:t xml:space="preserve"> – installation of 2 bicycle rental stations and 10 bicycles (6 ordinary and 4 electric). The locations are: TIC Cerklje and Soccer Center Cerklje</w:t>
      </w:r>
    </w:p>
    <w:p w:rsidR="005D24C3" w:rsidRPr="00BA0C07" w:rsidRDefault="005D24C3" w:rsidP="005D24C3">
      <w:pPr>
        <w:pStyle w:val="Odstavekseznama"/>
        <w:spacing w:line="276" w:lineRule="auto"/>
        <w:rPr>
          <w:bCs/>
          <w:sz w:val="32"/>
          <w:szCs w:val="32"/>
        </w:rPr>
      </w:pPr>
    </w:p>
    <w:p w:rsidR="00BA0C07" w:rsidRPr="00BA0C07" w:rsidRDefault="00BA0C07" w:rsidP="00BA0C07">
      <w:pPr>
        <w:pStyle w:val="Odstavekseznama"/>
        <w:numPr>
          <w:ilvl w:val="0"/>
          <w:numId w:val="4"/>
        </w:numPr>
        <w:spacing w:line="276" w:lineRule="auto"/>
        <w:jc w:val="both"/>
        <w:rPr>
          <w:b/>
          <w:bCs/>
          <w:sz w:val="32"/>
          <w:szCs w:val="32"/>
        </w:rPr>
      </w:pPr>
      <w:r w:rsidRPr="00BA0C07">
        <w:rPr>
          <w:b/>
          <w:bCs/>
          <w:color w:val="538135" w:themeColor="accent6" w:themeShade="BF"/>
          <w:sz w:val="32"/>
          <w:szCs w:val="32"/>
        </w:rPr>
        <w:t>Some projects in the implementation phase:</w:t>
      </w:r>
    </w:p>
    <w:p w:rsidR="00BA0C07" w:rsidRPr="00BA0C07" w:rsidRDefault="00BA0C07" w:rsidP="00BA0C07">
      <w:pPr>
        <w:pStyle w:val="Odstavekseznama"/>
        <w:numPr>
          <w:ilvl w:val="0"/>
          <w:numId w:val="1"/>
        </w:numPr>
        <w:spacing w:line="276" w:lineRule="auto"/>
        <w:jc w:val="both"/>
        <w:rPr>
          <w:b/>
          <w:bCs/>
          <w:sz w:val="24"/>
          <w:szCs w:val="24"/>
        </w:rPr>
      </w:pPr>
      <w:r w:rsidRPr="00BA0C07">
        <w:rPr>
          <w:rStyle w:val="s1ppyq"/>
          <w:color w:val="000000"/>
          <w:sz w:val="24"/>
          <w:szCs w:val="24"/>
        </w:rPr>
        <w:t>Construction of sewerage and water supply in Štefanja Gora - value of €2.5 million.</w:t>
      </w:r>
    </w:p>
    <w:p w:rsidR="00BA0C07" w:rsidRPr="00BA0C07" w:rsidRDefault="00BA0C07" w:rsidP="00BA0C07">
      <w:pPr>
        <w:pStyle w:val="04xlpa"/>
        <w:numPr>
          <w:ilvl w:val="0"/>
          <w:numId w:val="1"/>
        </w:numPr>
        <w:spacing w:line="330" w:lineRule="atLeast"/>
        <w:rPr>
          <w:rFonts w:asciiTheme="minorHAnsi" w:hAnsiTheme="minorHAnsi"/>
          <w:color w:val="000000"/>
        </w:rPr>
      </w:pPr>
      <w:r w:rsidRPr="00BA0C07">
        <w:rPr>
          <w:rStyle w:val="s1ppyq"/>
          <w:rFonts w:asciiTheme="minorHAnsi" w:hAnsiTheme="minorHAnsi"/>
          <w:color w:val="000000"/>
        </w:rPr>
        <w:t>Preparation of project documentation, acquisition of land and construction of sewerage from Krvavac to the valley. (Ambrož, Stiška vas, Apno, Ravne, Šenturška gora)</w:t>
      </w:r>
    </w:p>
    <w:p w:rsidR="00BA0C07" w:rsidRPr="00BA0C07" w:rsidRDefault="00BA0C07" w:rsidP="00BA0C07">
      <w:pPr>
        <w:pStyle w:val="04xlpa"/>
        <w:numPr>
          <w:ilvl w:val="0"/>
          <w:numId w:val="1"/>
        </w:numPr>
        <w:spacing w:line="330" w:lineRule="atLeast"/>
        <w:rPr>
          <w:rFonts w:asciiTheme="minorHAnsi" w:hAnsiTheme="minorHAnsi"/>
          <w:color w:val="000000"/>
        </w:rPr>
      </w:pPr>
      <w:r w:rsidRPr="00BA0C07">
        <w:rPr>
          <w:rStyle w:val="s1ppyq"/>
          <w:rFonts w:asciiTheme="minorHAnsi" w:hAnsiTheme="minorHAnsi"/>
          <w:color w:val="000000"/>
        </w:rPr>
        <w:t>Project ŽIV - ŽAV - children's playground Ambrož pod Krvavcem.</w:t>
      </w:r>
    </w:p>
    <w:p w:rsidR="00BA0C07" w:rsidRPr="00BA0C07" w:rsidRDefault="00BA0C07" w:rsidP="00BA0C07">
      <w:pPr>
        <w:pStyle w:val="04xlpa"/>
        <w:numPr>
          <w:ilvl w:val="0"/>
          <w:numId w:val="1"/>
        </w:numPr>
        <w:spacing w:line="330" w:lineRule="atLeast"/>
        <w:rPr>
          <w:rFonts w:asciiTheme="minorHAnsi" w:hAnsiTheme="minorHAnsi"/>
          <w:color w:val="000000"/>
        </w:rPr>
      </w:pPr>
      <w:r w:rsidRPr="00BA0C07">
        <w:rPr>
          <w:rStyle w:val="s1ppyq"/>
          <w:rFonts w:asciiTheme="minorHAnsi" w:hAnsiTheme="minorHAnsi"/>
          <w:color w:val="000000"/>
        </w:rPr>
        <w:t>Smart lighting project on Ambrož.</w:t>
      </w:r>
    </w:p>
    <w:p w:rsidR="00BA0C07" w:rsidRPr="00BA0C07" w:rsidRDefault="00BA0C07" w:rsidP="00BA0C07">
      <w:pPr>
        <w:pStyle w:val="04xlpa"/>
        <w:numPr>
          <w:ilvl w:val="0"/>
          <w:numId w:val="1"/>
        </w:numPr>
        <w:spacing w:line="330" w:lineRule="atLeast"/>
        <w:rPr>
          <w:rFonts w:asciiTheme="minorHAnsi" w:hAnsiTheme="minorHAnsi"/>
          <w:color w:val="000000"/>
        </w:rPr>
      </w:pPr>
      <w:r w:rsidRPr="00BA0C07">
        <w:rPr>
          <w:rStyle w:val="s1ppyq"/>
          <w:rFonts w:asciiTheme="minorHAnsi" w:hAnsiTheme="minorHAnsi"/>
          <w:color w:val="000000"/>
        </w:rPr>
        <w:t>The Living Legends Project – museum installation in Hribarjeva House.</w:t>
      </w:r>
    </w:p>
    <w:p w:rsidR="00BA0C07" w:rsidRPr="00BA0C07" w:rsidRDefault="00BA0C07" w:rsidP="00BA0C07">
      <w:pPr>
        <w:pStyle w:val="Odstavekseznama"/>
        <w:numPr>
          <w:ilvl w:val="0"/>
          <w:numId w:val="4"/>
        </w:numPr>
        <w:spacing w:line="276" w:lineRule="auto"/>
        <w:rPr>
          <w:sz w:val="32"/>
          <w:szCs w:val="32"/>
        </w:rPr>
      </w:pPr>
      <w:r w:rsidRPr="00BA0C07">
        <w:rPr>
          <w:b/>
          <w:color w:val="538135" w:themeColor="accent6" w:themeShade="BF"/>
          <w:sz w:val="32"/>
          <w:szCs w:val="32"/>
        </w:rPr>
        <w:t>The following activities were carried out:</w:t>
      </w:r>
      <w:r w:rsidRPr="00BA0C07">
        <w:rPr>
          <w:sz w:val="32"/>
          <w:szCs w:val="32"/>
        </w:rPr>
        <w:t xml:space="preserve"> </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the mayor's invitation to all citizens to the presentation of the preparation of the sustainable development strategy of the municipality of Cerklje and an invitation to possible active participation in various workshops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conducting surveys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five workshops for citizens from different sectors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lastRenderedPageBreak/>
        <w:t>preparation and approval of the Sustainab</w:t>
      </w:r>
      <w:r>
        <w:rPr>
          <w:rStyle w:val="s1ppyq"/>
          <w:rFonts w:asciiTheme="minorHAnsi" w:hAnsiTheme="minorHAnsi"/>
          <w:color w:val="000000"/>
        </w:rPr>
        <w:t>le Development Strategy of the m</w:t>
      </w:r>
      <w:r w:rsidRPr="00BA0C07">
        <w:rPr>
          <w:rStyle w:val="s1ppyq"/>
          <w:rFonts w:asciiTheme="minorHAnsi" w:hAnsiTheme="minorHAnsi"/>
          <w:color w:val="000000"/>
        </w:rPr>
        <w:t>uni</w:t>
      </w:r>
      <w:r>
        <w:rPr>
          <w:rStyle w:val="s1ppyq"/>
          <w:rFonts w:asciiTheme="minorHAnsi" w:hAnsiTheme="minorHAnsi"/>
          <w:color w:val="000000"/>
        </w:rPr>
        <w:t>cipality of Cerklje na Gorenjskem</w:t>
      </w:r>
      <w:r w:rsidRPr="00BA0C07">
        <w:rPr>
          <w:rStyle w:val="s1ppyq"/>
          <w:rFonts w:asciiTheme="minorHAnsi" w:hAnsiTheme="minorHAnsi"/>
          <w:color w:val="000000"/>
        </w:rPr>
        <w:t xml:space="preserve"> 2022-2030</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implementation of a series of local Cerkljan markets with local suppliers, craftsmen and artisans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carrying out surveys of the local population, tourism stakeholders...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2 lectures on sustainable tourism were held</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implementation of the festival "</w:t>
      </w:r>
      <w:r w:rsidRPr="00BA0C07">
        <w:t xml:space="preserve"> </w:t>
      </w:r>
      <w:r w:rsidRPr="00BA0C07">
        <w:rPr>
          <w:rFonts w:asciiTheme="minorHAnsi" w:hAnsiTheme="minorHAnsi"/>
        </w:rPr>
        <w:t>Pozdrav jeseni z gorenjskimi nageljni</w:t>
      </w:r>
      <w:r w:rsidRPr="00BA0C07">
        <w:rPr>
          <w:rStyle w:val="s1ppyq"/>
          <w:rFonts w:asciiTheme="minorHAnsi" w:hAnsiTheme="minorHAnsi"/>
          <w:color w:val="000000"/>
        </w:rPr>
        <w:t>" with a broad cultural program that included stakeholders in cultural and social activities</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raising awareness among citizens about the possibility of sustainable mobility</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selection and confirmation of the green team and green coordinator</w:t>
      </w:r>
    </w:p>
    <w:p w:rsidR="00BA0C07" w:rsidRPr="00BA0C07" w:rsidRDefault="00BA0C07" w:rsidP="00BA0C07">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 xml:space="preserve">raising awareness and writing articles about the activities of the </w:t>
      </w:r>
      <w:r>
        <w:rPr>
          <w:rStyle w:val="s1ppyq"/>
          <w:rFonts w:asciiTheme="minorHAnsi" w:hAnsiTheme="minorHAnsi"/>
          <w:color w:val="000000"/>
        </w:rPr>
        <w:t xml:space="preserve">Zavod za turizem Cerklje </w:t>
      </w:r>
      <w:r w:rsidRPr="00BA0C07">
        <w:rPr>
          <w:rStyle w:val="s1ppyq"/>
          <w:rFonts w:asciiTheme="minorHAnsi" w:hAnsiTheme="minorHAnsi"/>
          <w:color w:val="000000"/>
        </w:rPr>
        <w:t>in p</w:t>
      </w:r>
      <w:r>
        <w:rPr>
          <w:rStyle w:val="s1ppyq"/>
          <w:rFonts w:asciiTheme="minorHAnsi" w:hAnsiTheme="minorHAnsi"/>
          <w:color w:val="000000"/>
        </w:rPr>
        <w:t>ublic areas (Cerklje pod Krvavcem</w:t>
      </w:r>
      <w:r w:rsidRPr="00BA0C07">
        <w:rPr>
          <w:rStyle w:val="s1ppyq"/>
          <w:rFonts w:asciiTheme="minorHAnsi" w:hAnsiTheme="minorHAnsi"/>
          <w:color w:val="000000"/>
        </w:rPr>
        <w:t>) with the aim of informing the public</w:t>
      </w:r>
    </w:p>
    <w:p w:rsidR="0065270A" w:rsidRPr="002555E1" w:rsidRDefault="00BA0C07" w:rsidP="005552A9">
      <w:pPr>
        <w:pStyle w:val="04xlpa"/>
        <w:numPr>
          <w:ilvl w:val="0"/>
          <w:numId w:val="13"/>
        </w:numPr>
        <w:spacing w:line="330" w:lineRule="atLeast"/>
        <w:rPr>
          <w:rFonts w:asciiTheme="minorHAnsi" w:hAnsiTheme="minorHAnsi"/>
          <w:color w:val="000000"/>
        </w:rPr>
      </w:pPr>
      <w:r w:rsidRPr="00BA0C07">
        <w:rPr>
          <w:rStyle w:val="s1ppyq"/>
          <w:rFonts w:asciiTheme="minorHAnsi" w:hAnsiTheme="minorHAnsi"/>
          <w:color w:val="000000"/>
        </w:rPr>
        <w:t>informing citizens about local events via social networks</w:t>
      </w:r>
    </w:p>
    <w:sectPr w:rsidR="0065270A" w:rsidRPr="002555E1" w:rsidSect="005552A9">
      <w:footerReference w:type="default" r:id="rId11"/>
      <w:pgSz w:w="11906" w:h="16838" w:code="9"/>
      <w:pgMar w:top="1134" w:right="1418" w:bottom="1276"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7F" w:rsidRDefault="0054167F">
      <w:pPr>
        <w:spacing w:after="0" w:line="240" w:lineRule="auto"/>
      </w:pPr>
      <w:r>
        <w:separator/>
      </w:r>
    </w:p>
  </w:endnote>
  <w:endnote w:type="continuationSeparator" w:id="0">
    <w:p w:rsidR="0054167F" w:rsidRDefault="0054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707884"/>
      <w:docPartObj>
        <w:docPartGallery w:val="Page Numbers (Bottom of Page)"/>
        <w:docPartUnique/>
      </w:docPartObj>
    </w:sdtPr>
    <w:sdtEndPr/>
    <w:sdtContent>
      <w:p w:rsidR="00B3473A" w:rsidRDefault="002555E1">
        <w:pPr>
          <w:pStyle w:val="Noga"/>
          <w:jc w:val="center"/>
        </w:pPr>
        <w:r>
          <w:fldChar w:fldCharType="begin"/>
        </w:r>
        <w:r>
          <w:instrText>PAGE   \* MERGEFORMAT</w:instrText>
        </w:r>
        <w:r>
          <w:fldChar w:fldCharType="separate"/>
        </w:r>
        <w:r w:rsidR="00AD6F95">
          <w:rPr>
            <w:noProof/>
          </w:rPr>
          <w:t>1</w:t>
        </w:r>
        <w:r>
          <w:fldChar w:fldCharType="end"/>
        </w:r>
      </w:p>
    </w:sdtContent>
  </w:sdt>
  <w:p w:rsidR="00B3473A" w:rsidRDefault="0054167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7F" w:rsidRDefault="0054167F">
      <w:pPr>
        <w:spacing w:after="0" w:line="240" w:lineRule="auto"/>
      </w:pPr>
      <w:r>
        <w:separator/>
      </w:r>
    </w:p>
  </w:footnote>
  <w:footnote w:type="continuationSeparator" w:id="0">
    <w:p w:rsidR="0054167F" w:rsidRDefault="00541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6C2"/>
    <w:multiLevelType w:val="hybridMultilevel"/>
    <w:tmpl w:val="A690685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AF772D"/>
    <w:multiLevelType w:val="hybridMultilevel"/>
    <w:tmpl w:val="E0F2322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8A873A2"/>
    <w:multiLevelType w:val="hybridMultilevel"/>
    <w:tmpl w:val="75BE54AC"/>
    <w:lvl w:ilvl="0" w:tplc="AB124C0A">
      <w:start w:val="1"/>
      <w:numFmt w:val="bullet"/>
      <w:lvlText w:val=""/>
      <w:lvlJc w:val="left"/>
      <w:pPr>
        <w:ind w:left="360" w:hanging="360"/>
      </w:pPr>
      <w:rPr>
        <w:rFonts w:ascii="Wingdings" w:hAnsi="Wingdings" w:hint="default"/>
        <w:color w:val="538135" w:themeColor="accent6" w:themeShade="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CE045CA"/>
    <w:multiLevelType w:val="hybridMultilevel"/>
    <w:tmpl w:val="556EF1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FF6DD1"/>
    <w:multiLevelType w:val="hybridMultilevel"/>
    <w:tmpl w:val="752EF8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6236EEA"/>
    <w:multiLevelType w:val="hybridMultilevel"/>
    <w:tmpl w:val="80608552"/>
    <w:lvl w:ilvl="0" w:tplc="0424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7AC5389"/>
    <w:multiLevelType w:val="hybridMultilevel"/>
    <w:tmpl w:val="7D943388"/>
    <w:lvl w:ilvl="0" w:tplc="0424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 w15:restartNumberingAfterBreak="0">
    <w:nsid w:val="48A34900"/>
    <w:multiLevelType w:val="hybridMultilevel"/>
    <w:tmpl w:val="B18822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1D48C5"/>
    <w:multiLevelType w:val="hybridMultilevel"/>
    <w:tmpl w:val="FCD4DCD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9665885"/>
    <w:multiLevelType w:val="hybridMultilevel"/>
    <w:tmpl w:val="BA689F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BF924BA"/>
    <w:multiLevelType w:val="hybridMultilevel"/>
    <w:tmpl w:val="380EC9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056810"/>
    <w:multiLevelType w:val="hybridMultilevel"/>
    <w:tmpl w:val="8B2803A0"/>
    <w:lvl w:ilvl="0" w:tplc="16CC07A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B54027"/>
    <w:multiLevelType w:val="hybridMultilevel"/>
    <w:tmpl w:val="B1F8272A"/>
    <w:lvl w:ilvl="0" w:tplc="F8CA259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12"/>
  </w:num>
  <w:num w:numId="6">
    <w:abstractNumId w:val="10"/>
  </w:num>
  <w:num w:numId="7">
    <w:abstractNumId w:val="3"/>
  </w:num>
  <w:num w:numId="8">
    <w:abstractNumId w:val="11"/>
  </w:num>
  <w:num w:numId="9">
    <w:abstractNumId w:val="0"/>
  </w:num>
  <w:num w:numId="10">
    <w:abstractNumId w:val="4"/>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A9"/>
    <w:rsid w:val="000F714F"/>
    <w:rsid w:val="00132C2A"/>
    <w:rsid w:val="002555E1"/>
    <w:rsid w:val="00282245"/>
    <w:rsid w:val="00393EF0"/>
    <w:rsid w:val="00432F78"/>
    <w:rsid w:val="00465318"/>
    <w:rsid w:val="004A7C06"/>
    <w:rsid w:val="0054167F"/>
    <w:rsid w:val="005552A9"/>
    <w:rsid w:val="005A530F"/>
    <w:rsid w:val="005B1CF0"/>
    <w:rsid w:val="005D24C3"/>
    <w:rsid w:val="00615285"/>
    <w:rsid w:val="0065270A"/>
    <w:rsid w:val="006C4037"/>
    <w:rsid w:val="00717F20"/>
    <w:rsid w:val="00820D70"/>
    <w:rsid w:val="00821EC4"/>
    <w:rsid w:val="008838FE"/>
    <w:rsid w:val="0088416A"/>
    <w:rsid w:val="00973629"/>
    <w:rsid w:val="00AA5EAD"/>
    <w:rsid w:val="00AD6F95"/>
    <w:rsid w:val="00BA0C07"/>
    <w:rsid w:val="00DC54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B0934-850F-458F-B687-1CE9E621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552A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52A9"/>
    <w:pPr>
      <w:ind w:left="720"/>
      <w:contextualSpacing/>
    </w:pPr>
  </w:style>
  <w:style w:type="paragraph" w:styleId="Noga">
    <w:name w:val="footer"/>
    <w:basedOn w:val="Navaden"/>
    <w:link w:val="NogaZnak"/>
    <w:uiPriority w:val="99"/>
    <w:unhideWhenUsed/>
    <w:rsid w:val="005552A9"/>
    <w:pPr>
      <w:tabs>
        <w:tab w:val="center" w:pos="4536"/>
        <w:tab w:val="right" w:pos="9072"/>
      </w:tabs>
      <w:spacing w:after="0" w:line="240" w:lineRule="auto"/>
    </w:pPr>
  </w:style>
  <w:style w:type="character" w:customStyle="1" w:styleId="NogaZnak">
    <w:name w:val="Noga Znak"/>
    <w:basedOn w:val="Privzetapisavaodstavka"/>
    <w:link w:val="Noga"/>
    <w:uiPriority w:val="99"/>
    <w:rsid w:val="005552A9"/>
  </w:style>
  <w:style w:type="paragraph" w:styleId="HTML-oblikovano">
    <w:name w:val="HTML Preformatted"/>
    <w:basedOn w:val="Navaden"/>
    <w:link w:val="HTML-oblikovanoZnak"/>
    <w:uiPriority w:val="99"/>
    <w:semiHidden/>
    <w:unhideWhenUsed/>
    <w:rsid w:val="005B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5B1CF0"/>
    <w:rPr>
      <w:rFonts w:ascii="Courier New" w:eastAsia="Times New Roman" w:hAnsi="Courier New" w:cs="Courier New"/>
      <w:sz w:val="20"/>
      <w:szCs w:val="20"/>
      <w:lang w:eastAsia="sl-SI"/>
    </w:rPr>
  </w:style>
  <w:style w:type="character" w:customStyle="1" w:styleId="y2iqfc">
    <w:name w:val="y2iqfc"/>
    <w:basedOn w:val="Privzetapisavaodstavka"/>
    <w:rsid w:val="005B1CF0"/>
  </w:style>
  <w:style w:type="paragraph" w:customStyle="1" w:styleId="04xlpa">
    <w:name w:val="_04xlpa"/>
    <w:basedOn w:val="Navaden"/>
    <w:rsid w:val="00DC540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ppyq">
    <w:name w:val="s1ppyq"/>
    <w:basedOn w:val="Privzetapisavaodstavka"/>
    <w:rsid w:val="00DC5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9897">
      <w:bodyDiv w:val="1"/>
      <w:marLeft w:val="0"/>
      <w:marRight w:val="0"/>
      <w:marTop w:val="0"/>
      <w:marBottom w:val="0"/>
      <w:divBdr>
        <w:top w:val="none" w:sz="0" w:space="0" w:color="auto"/>
        <w:left w:val="none" w:sz="0" w:space="0" w:color="auto"/>
        <w:bottom w:val="none" w:sz="0" w:space="0" w:color="auto"/>
        <w:right w:val="none" w:sz="0" w:space="0" w:color="auto"/>
      </w:divBdr>
    </w:div>
    <w:div w:id="247925347">
      <w:bodyDiv w:val="1"/>
      <w:marLeft w:val="0"/>
      <w:marRight w:val="0"/>
      <w:marTop w:val="0"/>
      <w:marBottom w:val="0"/>
      <w:divBdr>
        <w:top w:val="none" w:sz="0" w:space="0" w:color="auto"/>
        <w:left w:val="none" w:sz="0" w:space="0" w:color="auto"/>
        <w:bottom w:val="none" w:sz="0" w:space="0" w:color="auto"/>
        <w:right w:val="none" w:sz="0" w:space="0" w:color="auto"/>
      </w:divBdr>
    </w:div>
    <w:div w:id="277294279">
      <w:bodyDiv w:val="1"/>
      <w:marLeft w:val="0"/>
      <w:marRight w:val="0"/>
      <w:marTop w:val="0"/>
      <w:marBottom w:val="0"/>
      <w:divBdr>
        <w:top w:val="none" w:sz="0" w:space="0" w:color="auto"/>
        <w:left w:val="none" w:sz="0" w:space="0" w:color="auto"/>
        <w:bottom w:val="none" w:sz="0" w:space="0" w:color="auto"/>
        <w:right w:val="none" w:sz="0" w:space="0" w:color="auto"/>
      </w:divBdr>
    </w:div>
    <w:div w:id="283926248">
      <w:bodyDiv w:val="1"/>
      <w:marLeft w:val="0"/>
      <w:marRight w:val="0"/>
      <w:marTop w:val="0"/>
      <w:marBottom w:val="0"/>
      <w:divBdr>
        <w:top w:val="none" w:sz="0" w:space="0" w:color="auto"/>
        <w:left w:val="none" w:sz="0" w:space="0" w:color="auto"/>
        <w:bottom w:val="none" w:sz="0" w:space="0" w:color="auto"/>
        <w:right w:val="none" w:sz="0" w:space="0" w:color="auto"/>
      </w:divBdr>
    </w:div>
    <w:div w:id="753471779">
      <w:bodyDiv w:val="1"/>
      <w:marLeft w:val="0"/>
      <w:marRight w:val="0"/>
      <w:marTop w:val="0"/>
      <w:marBottom w:val="0"/>
      <w:divBdr>
        <w:top w:val="none" w:sz="0" w:space="0" w:color="auto"/>
        <w:left w:val="none" w:sz="0" w:space="0" w:color="auto"/>
        <w:bottom w:val="none" w:sz="0" w:space="0" w:color="auto"/>
        <w:right w:val="none" w:sz="0" w:space="0" w:color="auto"/>
      </w:divBdr>
    </w:div>
    <w:div w:id="767234475">
      <w:bodyDiv w:val="1"/>
      <w:marLeft w:val="0"/>
      <w:marRight w:val="0"/>
      <w:marTop w:val="0"/>
      <w:marBottom w:val="0"/>
      <w:divBdr>
        <w:top w:val="none" w:sz="0" w:space="0" w:color="auto"/>
        <w:left w:val="none" w:sz="0" w:space="0" w:color="auto"/>
        <w:bottom w:val="none" w:sz="0" w:space="0" w:color="auto"/>
        <w:right w:val="none" w:sz="0" w:space="0" w:color="auto"/>
      </w:divBdr>
    </w:div>
    <w:div w:id="776289195">
      <w:bodyDiv w:val="1"/>
      <w:marLeft w:val="0"/>
      <w:marRight w:val="0"/>
      <w:marTop w:val="0"/>
      <w:marBottom w:val="0"/>
      <w:divBdr>
        <w:top w:val="none" w:sz="0" w:space="0" w:color="auto"/>
        <w:left w:val="none" w:sz="0" w:space="0" w:color="auto"/>
        <w:bottom w:val="none" w:sz="0" w:space="0" w:color="auto"/>
        <w:right w:val="none" w:sz="0" w:space="0" w:color="auto"/>
      </w:divBdr>
    </w:div>
    <w:div w:id="1088963947">
      <w:bodyDiv w:val="1"/>
      <w:marLeft w:val="0"/>
      <w:marRight w:val="0"/>
      <w:marTop w:val="0"/>
      <w:marBottom w:val="0"/>
      <w:divBdr>
        <w:top w:val="none" w:sz="0" w:space="0" w:color="auto"/>
        <w:left w:val="none" w:sz="0" w:space="0" w:color="auto"/>
        <w:bottom w:val="none" w:sz="0" w:space="0" w:color="auto"/>
        <w:right w:val="none" w:sz="0" w:space="0" w:color="auto"/>
      </w:divBdr>
    </w:div>
    <w:div w:id="1098677486">
      <w:bodyDiv w:val="1"/>
      <w:marLeft w:val="0"/>
      <w:marRight w:val="0"/>
      <w:marTop w:val="0"/>
      <w:marBottom w:val="0"/>
      <w:divBdr>
        <w:top w:val="none" w:sz="0" w:space="0" w:color="auto"/>
        <w:left w:val="none" w:sz="0" w:space="0" w:color="auto"/>
        <w:bottom w:val="none" w:sz="0" w:space="0" w:color="auto"/>
        <w:right w:val="none" w:sz="0" w:space="0" w:color="auto"/>
      </w:divBdr>
    </w:div>
    <w:div w:id="1337028640">
      <w:bodyDiv w:val="1"/>
      <w:marLeft w:val="0"/>
      <w:marRight w:val="0"/>
      <w:marTop w:val="0"/>
      <w:marBottom w:val="0"/>
      <w:divBdr>
        <w:top w:val="none" w:sz="0" w:space="0" w:color="auto"/>
        <w:left w:val="none" w:sz="0" w:space="0" w:color="auto"/>
        <w:bottom w:val="none" w:sz="0" w:space="0" w:color="auto"/>
        <w:right w:val="none" w:sz="0" w:space="0" w:color="auto"/>
      </w:divBdr>
    </w:div>
    <w:div w:id="1534266324">
      <w:bodyDiv w:val="1"/>
      <w:marLeft w:val="0"/>
      <w:marRight w:val="0"/>
      <w:marTop w:val="0"/>
      <w:marBottom w:val="0"/>
      <w:divBdr>
        <w:top w:val="none" w:sz="0" w:space="0" w:color="auto"/>
        <w:left w:val="none" w:sz="0" w:space="0" w:color="auto"/>
        <w:bottom w:val="none" w:sz="0" w:space="0" w:color="auto"/>
        <w:right w:val="none" w:sz="0" w:space="0" w:color="auto"/>
      </w:divBdr>
    </w:div>
    <w:div w:id="1763136848">
      <w:bodyDiv w:val="1"/>
      <w:marLeft w:val="0"/>
      <w:marRight w:val="0"/>
      <w:marTop w:val="0"/>
      <w:marBottom w:val="0"/>
      <w:divBdr>
        <w:top w:val="none" w:sz="0" w:space="0" w:color="auto"/>
        <w:left w:val="none" w:sz="0" w:space="0" w:color="auto"/>
        <w:bottom w:val="none" w:sz="0" w:space="0" w:color="auto"/>
        <w:right w:val="none" w:sz="0" w:space="0" w:color="auto"/>
      </w:divBdr>
    </w:div>
    <w:div w:id="1880049585">
      <w:bodyDiv w:val="1"/>
      <w:marLeft w:val="0"/>
      <w:marRight w:val="0"/>
      <w:marTop w:val="0"/>
      <w:marBottom w:val="0"/>
      <w:divBdr>
        <w:top w:val="none" w:sz="0" w:space="0" w:color="auto"/>
        <w:left w:val="none" w:sz="0" w:space="0" w:color="auto"/>
        <w:bottom w:val="none" w:sz="0" w:space="0" w:color="auto"/>
        <w:right w:val="none" w:sz="0" w:space="0" w:color="auto"/>
      </w:divBdr>
      <w:divsChild>
        <w:div w:id="4065633">
          <w:marLeft w:val="0"/>
          <w:marRight w:val="0"/>
          <w:marTop w:val="0"/>
          <w:marBottom w:val="0"/>
          <w:divBdr>
            <w:top w:val="none" w:sz="0" w:space="0" w:color="auto"/>
            <w:left w:val="none" w:sz="0" w:space="0" w:color="auto"/>
            <w:bottom w:val="none" w:sz="0" w:space="0" w:color="auto"/>
            <w:right w:val="none" w:sz="0" w:space="0" w:color="auto"/>
          </w:divBdr>
        </w:div>
        <w:div w:id="1133131496">
          <w:marLeft w:val="0"/>
          <w:marRight w:val="0"/>
          <w:marTop w:val="0"/>
          <w:marBottom w:val="0"/>
          <w:divBdr>
            <w:top w:val="none" w:sz="0" w:space="0" w:color="auto"/>
            <w:left w:val="none" w:sz="0" w:space="0" w:color="auto"/>
            <w:bottom w:val="none" w:sz="0" w:space="0" w:color="auto"/>
            <w:right w:val="none" w:sz="0" w:space="0" w:color="auto"/>
          </w:divBdr>
          <w:divsChild>
            <w:div w:id="449665287">
              <w:marLeft w:val="0"/>
              <w:marRight w:val="165"/>
              <w:marTop w:val="150"/>
              <w:marBottom w:val="0"/>
              <w:divBdr>
                <w:top w:val="none" w:sz="0" w:space="0" w:color="auto"/>
                <w:left w:val="none" w:sz="0" w:space="0" w:color="auto"/>
                <w:bottom w:val="none" w:sz="0" w:space="0" w:color="auto"/>
                <w:right w:val="none" w:sz="0" w:space="0" w:color="auto"/>
              </w:divBdr>
              <w:divsChild>
                <w:div w:id="622349341">
                  <w:marLeft w:val="0"/>
                  <w:marRight w:val="0"/>
                  <w:marTop w:val="0"/>
                  <w:marBottom w:val="0"/>
                  <w:divBdr>
                    <w:top w:val="none" w:sz="0" w:space="0" w:color="auto"/>
                    <w:left w:val="none" w:sz="0" w:space="0" w:color="auto"/>
                    <w:bottom w:val="none" w:sz="0" w:space="0" w:color="auto"/>
                    <w:right w:val="none" w:sz="0" w:space="0" w:color="auto"/>
                  </w:divBdr>
                  <w:divsChild>
                    <w:div w:id="1458723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2023-03-09T17:58:00Z</dcterms:created>
  <dcterms:modified xsi:type="dcterms:W3CDTF">2023-03-09T17:58:00Z</dcterms:modified>
</cp:coreProperties>
</file>